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5FB" w:rsidRPr="00C6263F" w:rsidRDefault="005264E5">
      <w:pPr>
        <w:rPr>
          <w:rFonts w:asciiTheme="minorEastAsia" w:hAnsiTheme="minorEastAsia"/>
          <w:b/>
          <w:sz w:val="52"/>
          <w:szCs w:val="52"/>
        </w:rPr>
      </w:pPr>
      <w:r w:rsidRPr="00C6263F">
        <w:rPr>
          <w:rFonts w:asciiTheme="minorEastAsia" w:hAnsiTheme="minorEastAsia" w:hint="eastAsia"/>
          <w:b/>
          <w:sz w:val="52"/>
          <w:szCs w:val="52"/>
        </w:rPr>
        <w:t>毒・劇物</w:t>
      </w:r>
    </w:p>
    <w:p w:rsidR="00FE76CA" w:rsidRPr="00BA2930" w:rsidRDefault="00FE76CA">
      <w:pPr>
        <w:rPr>
          <w:rFonts w:asciiTheme="minorEastAsia" w:hAnsiTheme="minorEastAsia"/>
          <w:szCs w:val="21"/>
        </w:rPr>
      </w:pPr>
      <w:r w:rsidRPr="00BA2930">
        <w:rPr>
          <w:rFonts w:asciiTheme="minorEastAsia" w:hAnsiTheme="minorEastAsia" w:hint="eastAsia"/>
          <w:szCs w:val="21"/>
        </w:rPr>
        <w:t>毒物・劇物は毒性が強く、少量でも身体を著しく害する性質を持ってい</w:t>
      </w:r>
      <w:r w:rsidR="00B30963">
        <w:rPr>
          <w:rFonts w:asciiTheme="minorEastAsia" w:hAnsiTheme="minorEastAsia" w:hint="eastAsia"/>
          <w:szCs w:val="21"/>
        </w:rPr>
        <w:t>る</w:t>
      </w:r>
      <w:r w:rsidRPr="00BA2930">
        <w:rPr>
          <w:rFonts w:asciiTheme="minorEastAsia" w:hAnsiTheme="minorEastAsia" w:hint="eastAsia"/>
          <w:szCs w:val="21"/>
        </w:rPr>
        <w:t>。</w:t>
      </w:r>
      <w:r w:rsidR="00927F60">
        <w:rPr>
          <w:rFonts w:asciiTheme="minorEastAsia" w:hAnsiTheme="minorEastAsia" w:hint="eastAsia"/>
          <w:szCs w:val="21"/>
        </w:rPr>
        <w:t>表1</w:t>
      </w:r>
    </w:p>
    <w:p w:rsidR="00A33AD0" w:rsidRPr="00BA2930" w:rsidRDefault="00FE76CA" w:rsidP="00C72627">
      <w:pPr>
        <w:rPr>
          <w:rFonts w:asciiTheme="minorEastAsia" w:hAnsiTheme="minorEastAsia" w:cs="Arial"/>
          <w:bCs/>
          <w:kern w:val="36"/>
          <w:szCs w:val="21"/>
        </w:rPr>
      </w:pPr>
      <w:bookmarkStart w:id="0" w:name="_GoBack"/>
      <w:r w:rsidRPr="00BA2930">
        <w:rPr>
          <w:rFonts w:asciiTheme="minorEastAsia" w:hAnsiTheme="minorEastAsia" w:hint="eastAsia"/>
          <w:szCs w:val="21"/>
        </w:rPr>
        <w:t>これらは薬事法で</w:t>
      </w:r>
      <w:r w:rsidR="00AC01B3">
        <w:rPr>
          <w:rFonts w:asciiTheme="minorEastAsia" w:hAnsiTheme="minorEastAsia" w:hint="eastAsia"/>
          <w:szCs w:val="21"/>
        </w:rPr>
        <w:t>規定</w:t>
      </w:r>
      <w:r w:rsidRPr="00BA2930">
        <w:rPr>
          <w:rFonts w:asciiTheme="minorEastAsia" w:hAnsiTheme="minorEastAsia" w:hint="eastAsia"/>
          <w:szCs w:val="21"/>
        </w:rPr>
        <w:t>する「医薬品」または「医薬部外品」とは別に、</w:t>
      </w:r>
      <w:r w:rsidR="00AC01B3">
        <w:rPr>
          <w:rFonts w:asciiTheme="minorEastAsia" w:hAnsiTheme="minorEastAsia" w:hint="eastAsia"/>
          <w:szCs w:val="21"/>
        </w:rPr>
        <w:t>毒物劇物取締法で</w:t>
      </w:r>
      <w:bookmarkEnd w:id="0"/>
      <w:r w:rsidR="00AC01B3">
        <w:rPr>
          <w:rFonts w:asciiTheme="minorEastAsia" w:hAnsiTheme="minorEastAsia" w:hint="eastAsia"/>
          <w:szCs w:val="21"/>
        </w:rPr>
        <w:t>定められ、</w:t>
      </w:r>
      <w:r w:rsidRPr="00BA2930">
        <w:rPr>
          <w:rFonts w:asciiTheme="minorEastAsia" w:hAnsiTheme="minorEastAsia" w:hint="eastAsia"/>
          <w:szCs w:val="21"/>
        </w:rPr>
        <w:t>具体的物質名を掲示し、毒性の強弱により、毒性の激しいものを「毒物」低いものを「劇物」</w:t>
      </w:r>
      <w:r w:rsidR="00AC01B3">
        <w:rPr>
          <w:rFonts w:asciiTheme="minorEastAsia" w:hAnsiTheme="minorEastAsia" w:hint="eastAsia"/>
          <w:szCs w:val="21"/>
        </w:rPr>
        <w:t>と指定し</w:t>
      </w:r>
      <w:r w:rsidRPr="00BA2930">
        <w:rPr>
          <w:rFonts w:asciiTheme="minorEastAsia" w:hAnsiTheme="minorEastAsia" w:hint="eastAsia"/>
          <w:szCs w:val="21"/>
        </w:rPr>
        <w:t>、毒物のうち、特に作用の激しいものを「特定毒物」とし</w:t>
      </w:r>
      <w:r w:rsidR="00C72627" w:rsidRPr="00BA2930">
        <w:rPr>
          <w:rFonts w:asciiTheme="minorEastAsia" w:hAnsiTheme="minorEastAsia" w:hint="eastAsia"/>
          <w:szCs w:val="21"/>
        </w:rPr>
        <w:t>て「毒物及び劇物取締法」に別表として掲示している</w:t>
      </w:r>
      <w:r w:rsidR="00567F4A" w:rsidRPr="00BA2930">
        <w:rPr>
          <w:rFonts w:asciiTheme="minorEastAsia" w:hAnsiTheme="minorEastAsia" w:hint="eastAsia"/>
          <w:szCs w:val="21"/>
          <w:vertAlign w:val="superscript"/>
        </w:rPr>
        <w:t>１）</w:t>
      </w:r>
      <w:r w:rsidR="00C72627" w:rsidRPr="00BA2930">
        <w:rPr>
          <w:rFonts w:asciiTheme="minorEastAsia" w:hAnsiTheme="minorEastAsia" w:hint="eastAsia"/>
          <w:szCs w:val="21"/>
        </w:rPr>
        <w:t>。</w:t>
      </w:r>
      <w:bookmarkStart w:id="1" w:name="dokugeki"/>
      <w:r w:rsidR="00A33AD0" w:rsidRPr="00BA2930">
        <w:rPr>
          <w:rFonts w:asciiTheme="minorEastAsia" w:hAnsiTheme="minorEastAsia" w:cs="Arial"/>
          <w:bCs/>
          <w:spacing w:val="20"/>
          <w:kern w:val="36"/>
          <w:szCs w:val="21"/>
        </w:rPr>
        <w:t>毒物及び劇物取締法</w:t>
      </w:r>
      <w:bookmarkEnd w:id="1"/>
      <w:r w:rsidR="00C72627" w:rsidRPr="00BA2930">
        <w:rPr>
          <w:rFonts w:asciiTheme="minorEastAsia" w:hAnsiTheme="minorEastAsia" w:cs="Arial" w:hint="eastAsia"/>
          <w:bCs/>
          <w:spacing w:val="20"/>
          <w:kern w:val="36"/>
          <w:szCs w:val="21"/>
        </w:rPr>
        <w:t>は</w:t>
      </w:r>
      <w:r w:rsidR="00A33AD0" w:rsidRPr="00BA2930">
        <w:rPr>
          <w:rFonts w:asciiTheme="minorEastAsia" w:hAnsiTheme="minorEastAsia" w:cs="Arial" w:hint="eastAsia"/>
          <w:kern w:val="36"/>
          <w:szCs w:val="21"/>
        </w:rPr>
        <w:t>、</w:t>
      </w:r>
      <w:hyperlink r:id="rId7" w:history="1">
        <w:r w:rsidR="00A33AD0" w:rsidRPr="00BA2930">
          <w:rPr>
            <w:rFonts w:asciiTheme="minorEastAsia" w:hAnsiTheme="minorEastAsia" w:cs="ＭＳ Ｐゴシック" w:hint="eastAsia"/>
            <w:color w:val="000000" w:themeColor="text1"/>
            <w:kern w:val="0"/>
            <w:szCs w:val="21"/>
          </w:rPr>
          <w:t>毒物劇物営業者の登録制度</w:t>
        </w:r>
      </w:hyperlink>
      <w:r w:rsidR="00A33AD0" w:rsidRPr="00BA2930">
        <w:rPr>
          <w:rFonts w:asciiTheme="minorEastAsia" w:hAnsiTheme="minorEastAsia" w:cs="Arial" w:hint="eastAsia"/>
          <w:color w:val="000000" w:themeColor="text1"/>
          <w:kern w:val="36"/>
          <w:szCs w:val="21"/>
        </w:rPr>
        <w:t>、</w:t>
      </w:r>
      <w:hyperlink r:id="rId8" w:history="1">
        <w:r w:rsidR="00A33AD0" w:rsidRPr="00BA2930">
          <w:rPr>
            <w:rFonts w:asciiTheme="minorEastAsia" w:hAnsiTheme="minorEastAsia" w:cs="ＭＳ Ｐゴシック" w:hint="eastAsia"/>
            <w:color w:val="000000" w:themeColor="text1"/>
            <w:kern w:val="0"/>
            <w:szCs w:val="21"/>
          </w:rPr>
          <w:t>容器等への表示</w:t>
        </w:r>
      </w:hyperlink>
      <w:r w:rsidR="005A361D" w:rsidRPr="00BA2930">
        <w:rPr>
          <w:rFonts w:asciiTheme="minorEastAsia" w:hAnsiTheme="minorEastAsia" w:cs="ＭＳ Ｐゴシック" w:hint="eastAsia"/>
          <w:color w:val="000000" w:themeColor="text1"/>
          <w:kern w:val="0"/>
          <w:szCs w:val="21"/>
        </w:rPr>
        <w:t>、</w:t>
      </w:r>
      <w:hyperlink r:id="rId9" w:history="1">
        <w:r w:rsidR="00A33AD0" w:rsidRPr="00BA2930">
          <w:rPr>
            <w:rFonts w:asciiTheme="minorEastAsia" w:hAnsiTheme="minorEastAsia" w:cs="ＭＳ Ｐゴシック" w:hint="eastAsia"/>
            <w:color w:val="000000" w:themeColor="text1"/>
            <w:kern w:val="0"/>
            <w:szCs w:val="21"/>
          </w:rPr>
          <w:t>販売（譲渡）</w:t>
        </w:r>
      </w:hyperlink>
      <w:hyperlink r:id="rId10" w:history="1">
        <w:r w:rsidR="00A33AD0" w:rsidRPr="00BA2930">
          <w:rPr>
            <w:rFonts w:asciiTheme="minorEastAsia" w:hAnsiTheme="minorEastAsia" w:cs="ＭＳ Ｐゴシック" w:hint="eastAsia"/>
            <w:color w:val="000000" w:themeColor="text1"/>
            <w:kern w:val="0"/>
            <w:szCs w:val="21"/>
          </w:rPr>
          <w:t>の際の手続</w:t>
        </w:r>
      </w:hyperlink>
      <w:r w:rsidR="005A361D" w:rsidRPr="00BA2930">
        <w:rPr>
          <w:rFonts w:asciiTheme="minorEastAsia" w:hAnsiTheme="minorEastAsia" w:cs="ＭＳ Ｐゴシック" w:hint="eastAsia"/>
          <w:color w:val="000000" w:themeColor="text1"/>
          <w:kern w:val="0"/>
          <w:szCs w:val="21"/>
        </w:rPr>
        <w:t>、</w:t>
      </w:r>
      <w:hyperlink r:id="rId11" w:history="1">
        <w:r w:rsidR="00A33AD0" w:rsidRPr="00BA2930">
          <w:rPr>
            <w:rFonts w:asciiTheme="minorEastAsia" w:hAnsiTheme="minorEastAsia" w:cs="ＭＳ Ｐゴシック" w:hint="eastAsia"/>
            <w:color w:val="000000" w:themeColor="text1"/>
            <w:kern w:val="0"/>
            <w:szCs w:val="21"/>
          </w:rPr>
          <w:t>盗難・紛失・漏洩等防止の対策</w:t>
        </w:r>
      </w:hyperlink>
      <w:r w:rsidR="00A33AD0" w:rsidRPr="00BA2930">
        <w:rPr>
          <w:rFonts w:asciiTheme="minorEastAsia" w:hAnsiTheme="minorEastAsia" w:cs="Arial" w:hint="eastAsia"/>
          <w:color w:val="000000" w:themeColor="text1"/>
          <w:kern w:val="36"/>
          <w:szCs w:val="21"/>
        </w:rPr>
        <w:t>、</w:t>
      </w:r>
      <w:hyperlink r:id="rId12" w:history="1">
        <w:r w:rsidR="00A33AD0" w:rsidRPr="00BA2930">
          <w:rPr>
            <w:rFonts w:asciiTheme="minorEastAsia" w:hAnsiTheme="minorEastAsia" w:cs="ＭＳ Ｐゴシック" w:hint="eastAsia"/>
            <w:color w:val="000000" w:themeColor="text1"/>
            <w:kern w:val="0"/>
            <w:szCs w:val="21"/>
          </w:rPr>
          <w:t>運搬・廃棄時の基準</w:t>
        </w:r>
      </w:hyperlink>
      <w:r w:rsidR="00A33AD0" w:rsidRPr="00BA2930">
        <w:rPr>
          <w:rFonts w:asciiTheme="minorEastAsia" w:hAnsiTheme="minorEastAsia" w:cs="Arial" w:hint="eastAsia"/>
          <w:kern w:val="36"/>
          <w:szCs w:val="21"/>
        </w:rPr>
        <w:t>等を定め、毒物劇物の不適切な流通や漏洩等が起きないよう規制を行ってい</w:t>
      </w:r>
      <w:r w:rsidR="00AC01B3">
        <w:rPr>
          <w:rFonts w:asciiTheme="minorEastAsia" w:hAnsiTheme="minorEastAsia" w:cs="Arial" w:hint="eastAsia"/>
          <w:kern w:val="36"/>
          <w:szCs w:val="21"/>
        </w:rPr>
        <w:t>る</w:t>
      </w:r>
      <w:r w:rsidR="00A33AD0" w:rsidRPr="00BA2930">
        <w:rPr>
          <w:rFonts w:asciiTheme="minorEastAsia" w:hAnsiTheme="minorEastAsia" w:cs="Arial" w:hint="eastAsia"/>
          <w:kern w:val="36"/>
          <w:szCs w:val="21"/>
        </w:rPr>
        <w:t>。</w:t>
      </w:r>
    </w:p>
    <w:p w:rsidR="005264E5" w:rsidRPr="00BA2930" w:rsidRDefault="005264E5" w:rsidP="0004011C">
      <w:pPr>
        <w:rPr>
          <w:rFonts w:asciiTheme="minorEastAsia" w:hAnsiTheme="minorEastAsia" w:cs="ＭＳ Ｐゴシック"/>
          <w:bCs/>
          <w:color w:val="333333"/>
          <w:kern w:val="0"/>
          <w:szCs w:val="21"/>
        </w:rPr>
      </w:pPr>
      <w:r w:rsidRPr="00BA2930">
        <w:rPr>
          <w:rFonts w:asciiTheme="minorEastAsia" w:hAnsiTheme="minorEastAsia" w:hint="eastAsia"/>
          <w:szCs w:val="21"/>
        </w:rPr>
        <w:t>薬局で毒劇物を取扱い販売するには</w:t>
      </w:r>
      <w:r w:rsidR="00C72627" w:rsidRPr="00BA2930">
        <w:rPr>
          <w:rFonts w:asciiTheme="minorEastAsia" w:hAnsiTheme="minorEastAsia" w:hint="eastAsia"/>
          <w:szCs w:val="21"/>
        </w:rPr>
        <w:t>「</w:t>
      </w:r>
      <w:r w:rsidRPr="00BA2930">
        <w:rPr>
          <w:rFonts w:asciiTheme="minorEastAsia" w:hAnsiTheme="minorEastAsia" w:hint="eastAsia"/>
          <w:szCs w:val="21"/>
        </w:rPr>
        <w:t>毒物劇物一般販売業</w:t>
      </w:r>
      <w:r w:rsidR="00C72627" w:rsidRPr="00BA2930">
        <w:rPr>
          <w:rFonts w:asciiTheme="minorEastAsia" w:hAnsiTheme="minorEastAsia" w:hint="eastAsia"/>
          <w:szCs w:val="21"/>
        </w:rPr>
        <w:t>」</w:t>
      </w:r>
      <w:r w:rsidRPr="00BA2930">
        <w:rPr>
          <w:rFonts w:asciiTheme="minorEastAsia" w:hAnsiTheme="minorEastAsia" w:hint="eastAsia"/>
          <w:szCs w:val="21"/>
        </w:rPr>
        <w:t>の登録</w:t>
      </w:r>
      <w:r w:rsidR="00C72627" w:rsidRPr="00BA2930">
        <w:rPr>
          <w:rFonts w:asciiTheme="minorEastAsia" w:hAnsiTheme="minorEastAsia" w:hint="eastAsia"/>
          <w:szCs w:val="21"/>
        </w:rPr>
        <w:t>を所在地の都道府県知事（保健所長委任もある）に</w:t>
      </w:r>
      <w:r w:rsidR="00AC01B3">
        <w:rPr>
          <w:rFonts w:asciiTheme="minorEastAsia" w:hAnsiTheme="minorEastAsia" w:hint="eastAsia"/>
          <w:szCs w:val="21"/>
        </w:rPr>
        <w:t>申請</w:t>
      </w:r>
      <w:r w:rsidR="006B296E">
        <w:rPr>
          <w:rFonts w:asciiTheme="minorEastAsia" w:hAnsiTheme="minorEastAsia" w:hint="eastAsia"/>
          <w:szCs w:val="21"/>
        </w:rPr>
        <w:t>しなければならない</w:t>
      </w:r>
      <w:r w:rsidR="00C72627" w:rsidRPr="00BA2930">
        <w:rPr>
          <w:rFonts w:asciiTheme="minorEastAsia" w:hAnsiTheme="minorEastAsia" w:hint="eastAsia"/>
          <w:szCs w:val="21"/>
        </w:rPr>
        <w:t>。</w:t>
      </w:r>
      <w:r w:rsidR="0004011C" w:rsidRPr="00BA2930">
        <w:rPr>
          <w:rFonts w:asciiTheme="minorEastAsia" w:hAnsiTheme="minorEastAsia" w:hint="eastAsia"/>
          <w:szCs w:val="21"/>
        </w:rPr>
        <w:t>更新は6年ごと</w:t>
      </w:r>
      <w:r w:rsidR="00AC01B3">
        <w:rPr>
          <w:rFonts w:asciiTheme="minorEastAsia" w:hAnsiTheme="minorEastAsia" w:hint="eastAsia"/>
          <w:szCs w:val="21"/>
        </w:rPr>
        <w:t>に行う</w:t>
      </w:r>
      <w:r w:rsidR="0004011C" w:rsidRPr="00BA2930">
        <w:rPr>
          <w:rFonts w:asciiTheme="minorEastAsia" w:hAnsiTheme="minorEastAsia" w:hint="eastAsia"/>
          <w:szCs w:val="21"/>
        </w:rPr>
        <w:t>。</w:t>
      </w:r>
      <w:r w:rsidR="0004011C" w:rsidRPr="00BA2930">
        <w:rPr>
          <w:rFonts w:asciiTheme="minorEastAsia" w:hAnsiTheme="minorEastAsia" w:cs="ＭＳ Ｐゴシック" w:hint="eastAsia"/>
          <w:bCs/>
          <w:color w:val="333333"/>
          <w:kern w:val="0"/>
          <w:szCs w:val="21"/>
        </w:rPr>
        <w:t>同時に</w:t>
      </w:r>
      <w:r w:rsidRPr="00BA2930">
        <w:rPr>
          <w:rFonts w:asciiTheme="minorEastAsia" w:hAnsiTheme="minorEastAsia" w:cs="ＭＳ Ｐゴシック" w:hint="eastAsia"/>
          <w:bCs/>
          <w:color w:val="333333"/>
          <w:kern w:val="0"/>
          <w:szCs w:val="21"/>
        </w:rPr>
        <w:t>毒劇物取扱責任者</w:t>
      </w:r>
      <w:r w:rsidR="0004011C" w:rsidRPr="00BA2930">
        <w:rPr>
          <w:rFonts w:asciiTheme="minorEastAsia" w:hAnsiTheme="minorEastAsia" w:cs="ＭＳ Ｐゴシック" w:hint="eastAsia"/>
          <w:bCs/>
          <w:color w:val="333333"/>
          <w:kern w:val="0"/>
          <w:szCs w:val="21"/>
        </w:rPr>
        <w:t>の氏名・住所も届け</w:t>
      </w:r>
      <w:r w:rsidR="00AC01B3">
        <w:rPr>
          <w:rFonts w:asciiTheme="minorEastAsia" w:hAnsiTheme="minorEastAsia" w:cs="ＭＳ Ｐゴシック" w:hint="eastAsia"/>
          <w:bCs/>
          <w:color w:val="333333"/>
          <w:kern w:val="0"/>
          <w:szCs w:val="21"/>
        </w:rPr>
        <w:t>る</w:t>
      </w:r>
      <w:r w:rsidR="0004011C" w:rsidRPr="00BA2930">
        <w:rPr>
          <w:rFonts w:asciiTheme="minorEastAsia" w:hAnsiTheme="minorEastAsia" w:cs="ＭＳ Ｐゴシック" w:hint="eastAsia"/>
          <w:bCs/>
          <w:color w:val="333333"/>
          <w:kern w:val="0"/>
          <w:szCs w:val="21"/>
        </w:rPr>
        <w:t>。</w:t>
      </w:r>
    </w:p>
    <w:tbl>
      <w:tblPr>
        <w:tblW w:w="7080" w:type="dxa"/>
        <w:tblInd w:w="84" w:type="dxa"/>
        <w:tblCellMar>
          <w:left w:w="99" w:type="dxa"/>
          <w:right w:w="99" w:type="dxa"/>
        </w:tblCellMar>
        <w:tblLook w:val="04A0" w:firstRow="1" w:lastRow="0" w:firstColumn="1" w:lastColumn="0" w:noHBand="0" w:noVBand="1"/>
      </w:tblPr>
      <w:tblGrid>
        <w:gridCol w:w="1080"/>
        <w:gridCol w:w="6000"/>
      </w:tblGrid>
      <w:tr w:rsidR="00BB1195" w:rsidRPr="00BB1195" w:rsidTr="00BB1195">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195" w:rsidRPr="00BB1195" w:rsidRDefault="00BB1195" w:rsidP="00BB1195">
            <w:pPr>
              <w:widowControl/>
              <w:jc w:val="left"/>
              <w:rPr>
                <w:rFonts w:ascii="ＭＳ Ｐゴシック" w:eastAsia="ＭＳ Ｐゴシック" w:hAnsi="ＭＳ Ｐゴシック" w:cs="ＭＳ Ｐゴシック"/>
                <w:color w:val="000000"/>
                <w:kern w:val="0"/>
                <w:sz w:val="22"/>
              </w:rPr>
            </w:pPr>
            <w:r w:rsidRPr="00BB1195">
              <w:rPr>
                <w:rFonts w:ascii="ＭＳ Ｐゴシック" w:eastAsia="ＭＳ Ｐゴシック" w:hAnsi="ＭＳ Ｐゴシック" w:cs="ＭＳ Ｐゴシック" w:hint="eastAsia"/>
                <w:color w:val="000000"/>
                <w:kern w:val="0"/>
                <w:sz w:val="22"/>
              </w:rPr>
              <w:t>毒物</w:t>
            </w:r>
          </w:p>
        </w:tc>
        <w:tc>
          <w:tcPr>
            <w:tcW w:w="6000" w:type="dxa"/>
            <w:tcBorders>
              <w:top w:val="single" w:sz="4" w:space="0" w:color="auto"/>
              <w:left w:val="nil"/>
              <w:bottom w:val="single" w:sz="4" w:space="0" w:color="auto"/>
              <w:right w:val="single" w:sz="4" w:space="0" w:color="auto"/>
            </w:tcBorders>
            <w:shd w:val="clear" w:color="auto" w:fill="auto"/>
            <w:noWrap/>
            <w:vAlign w:val="center"/>
            <w:hideMark/>
          </w:tcPr>
          <w:p w:rsidR="00BB1195" w:rsidRPr="00BB1195" w:rsidRDefault="00BB1195" w:rsidP="00BB1195">
            <w:pPr>
              <w:widowControl/>
              <w:jc w:val="left"/>
              <w:rPr>
                <w:rFonts w:ascii="ＭＳ Ｐゴシック" w:eastAsia="ＭＳ Ｐゴシック" w:hAnsi="ＭＳ Ｐゴシック" w:cs="ＭＳ Ｐゴシック"/>
                <w:color w:val="000000"/>
                <w:kern w:val="0"/>
                <w:sz w:val="22"/>
              </w:rPr>
            </w:pPr>
            <w:r w:rsidRPr="00BB1195">
              <w:rPr>
                <w:rFonts w:ascii="ＭＳ Ｐゴシック" w:eastAsia="ＭＳ Ｐゴシック" w:hAnsi="ＭＳ Ｐゴシック" w:cs="ＭＳ Ｐゴシック" w:hint="eastAsia"/>
                <w:color w:val="000000"/>
                <w:kern w:val="0"/>
                <w:sz w:val="22"/>
              </w:rPr>
              <w:t>黄リン・無機シアン化合物・水銀・ひ素・弗化水素</w:t>
            </w:r>
            <w:r w:rsidR="00927F60">
              <w:rPr>
                <w:rFonts w:ascii="ＭＳ Ｐゴシック" w:eastAsia="ＭＳ Ｐゴシック" w:hAnsi="ＭＳ Ｐゴシック" w:cs="ＭＳ Ｐゴシック" w:hint="eastAsia"/>
                <w:color w:val="000000"/>
                <w:kern w:val="0"/>
                <w:sz w:val="22"/>
              </w:rPr>
              <w:t xml:space="preserve">　</w:t>
            </w:r>
            <w:r w:rsidRPr="00BB1195">
              <w:rPr>
                <w:rFonts w:ascii="ＭＳ Ｐゴシック" w:eastAsia="ＭＳ Ｐゴシック" w:hAnsi="ＭＳ Ｐゴシック" w:cs="ＭＳ Ｐゴシック" w:hint="eastAsia"/>
                <w:color w:val="000000"/>
                <w:kern w:val="0"/>
                <w:sz w:val="22"/>
              </w:rPr>
              <w:t>等</w:t>
            </w:r>
          </w:p>
        </w:tc>
      </w:tr>
      <w:tr w:rsidR="00BB1195" w:rsidRPr="00BB1195" w:rsidTr="00BB1195">
        <w:trPr>
          <w:trHeight w:val="10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B1195" w:rsidRPr="00BB1195" w:rsidRDefault="00BB1195" w:rsidP="00BB1195">
            <w:pPr>
              <w:widowControl/>
              <w:jc w:val="left"/>
              <w:rPr>
                <w:rFonts w:ascii="ＭＳ Ｐゴシック" w:eastAsia="ＭＳ Ｐゴシック" w:hAnsi="ＭＳ Ｐゴシック" w:cs="ＭＳ Ｐゴシック"/>
                <w:color w:val="000000"/>
                <w:kern w:val="0"/>
                <w:sz w:val="22"/>
              </w:rPr>
            </w:pPr>
            <w:r w:rsidRPr="00BB1195">
              <w:rPr>
                <w:rFonts w:ascii="ＭＳ Ｐゴシック" w:eastAsia="ＭＳ Ｐゴシック" w:hAnsi="ＭＳ Ｐゴシック" w:cs="ＭＳ Ｐゴシック" w:hint="eastAsia"/>
                <w:color w:val="000000"/>
                <w:kern w:val="0"/>
                <w:sz w:val="22"/>
              </w:rPr>
              <w:t>劇物</w:t>
            </w:r>
          </w:p>
        </w:tc>
        <w:tc>
          <w:tcPr>
            <w:tcW w:w="6000" w:type="dxa"/>
            <w:tcBorders>
              <w:top w:val="nil"/>
              <w:left w:val="nil"/>
              <w:bottom w:val="single" w:sz="4" w:space="0" w:color="auto"/>
              <w:right w:val="single" w:sz="4" w:space="0" w:color="auto"/>
            </w:tcBorders>
            <w:shd w:val="clear" w:color="auto" w:fill="auto"/>
            <w:vAlign w:val="center"/>
            <w:hideMark/>
          </w:tcPr>
          <w:p w:rsidR="00BB1195" w:rsidRPr="00BB1195" w:rsidRDefault="00BB1195" w:rsidP="00BB1195">
            <w:pPr>
              <w:widowControl/>
              <w:jc w:val="left"/>
              <w:rPr>
                <w:rFonts w:ascii="ＭＳ Ｐゴシック" w:eastAsia="ＭＳ Ｐゴシック" w:hAnsi="ＭＳ Ｐゴシック" w:cs="ＭＳ Ｐゴシック"/>
                <w:color w:val="000000"/>
                <w:kern w:val="0"/>
                <w:sz w:val="22"/>
              </w:rPr>
            </w:pPr>
            <w:r w:rsidRPr="00BB1195">
              <w:rPr>
                <w:rFonts w:ascii="ＭＳ Ｐゴシック" w:eastAsia="ＭＳ Ｐゴシック" w:hAnsi="ＭＳ Ｐゴシック" w:cs="ＭＳ Ｐゴシック" w:hint="eastAsia"/>
                <w:color w:val="000000"/>
                <w:kern w:val="0"/>
                <w:sz w:val="22"/>
              </w:rPr>
              <w:t>水酸化ナトリウム・アンモニア・アニリン・塩酸・塩素・過酸化水素・キシレン・クロロホルム・クレゾール・水酸化カリウム・トルエン・フェノール・ホルムアルデヒド・メタノール・ヨウ素・硫酸・有機シアン化合物</w:t>
            </w:r>
            <w:r w:rsidR="00927F60">
              <w:rPr>
                <w:rFonts w:ascii="ＭＳ Ｐゴシック" w:eastAsia="ＭＳ Ｐゴシック" w:hAnsi="ＭＳ Ｐゴシック" w:cs="ＭＳ Ｐゴシック" w:hint="eastAsia"/>
                <w:color w:val="000000"/>
                <w:kern w:val="0"/>
                <w:sz w:val="22"/>
              </w:rPr>
              <w:t xml:space="preserve">　</w:t>
            </w:r>
            <w:r w:rsidRPr="00BB1195">
              <w:rPr>
                <w:rFonts w:ascii="ＭＳ Ｐゴシック" w:eastAsia="ＭＳ Ｐゴシック" w:hAnsi="ＭＳ Ｐゴシック" w:cs="ＭＳ Ｐゴシック" w:hint="eastAsia"/>
                <w:color w:val="000000"/>
                <w:kern w:val="0"/>
                <w:sz w:val="22"/>
              </w:rPr>
              <w:t>等</w:t>
            </w:r>
          </w:p>
        </w:tc>
      </w:tr>
      <w:tr w:rsidR="00BB1195" w:rsidRPr="00BB1195" w:rsidTr="00BB1195">
        <w:trPr>
          <w:trHeight w:val="270"/>
        </w:trPr>
        <w:tc>
          <w:tcPr>
            <w:tcW w:w="7080" w:type="dxa"/>
            <w:gridSpan w:val="2"/>
            <w:tcBorders>
              <w:top w:val="nil"/>
              <w:left w:val="nil"/>
              <w:bottom w:val="nil"/>
              <w:right w:val="nil"/>
            </w:tcBorders>
            <w:shd w:val="clear" w:color="auto" w:fill="auto"/>
            <w:noWrap/>
            <w:vAlign w:val="center"/>
            <w:hideMark/>
          </w:tcPr>
          <w:p w:rsidR="00BB1195" w:rsidRPr="00BB1195" w:rsidRDefault="00BB1195" w:rsidP="00BB1195">
            <w:pPr>
              <w:widowControl/>
              <w:jc w:val="left"/>
              <w:rPr>
                <w:rFonts w:ascii="ＭＳ Ｐゴシック" w:eastAsia="ＭＳ Ｐゴシック" w:hAnsi="ＭＳ Ｐゴシック" w:cs="ＭＳ Ｐゴシック"/>
                <w:color w:val="000000"/>
                <w:kern w:val="0"/>
                <w:sz w:val="22"/>
              </w:rPr>
            </w:pPr>
            <w:r w:rsidRPr="00BB1195">
              <w:rPr>
                <w:rFonts w:ascii="ＭＳ Ｐゴシック" w:eastAsia="ＭＳ Ｐゴシック" w:hAnsi="ＭＳ Ｐゴシック" w:cs="ＭＳ Ｐゴシック" w:hint="eastAsia"/>
                <w:color w:val="000000"/>
                <w:kern w:val="0"/>
                <w:sz w:val="22"/>
              </w:rPr>
              <w:t>表1：毒物・劇物の種類（化合物・塩類もあり実際の物質は数万種になる）</w:t>
            </w:r>
          </w:p>
        </w:tc>
      </w:tr>
    </w:tbl>
    <w:p w:rsidR="00CD4EA5" w:rsidRPr="00BB1195" w:rsidRDefault="00CD4EA5" w:rsidP="0004011C">
      <w:pPr>
        <w:rPr>
          <w:rFonts w:asciiTheme="minorEastAsia" w:hAnsiTheme="minorEastAsia" w:cs="ＭＳ Ｐゴシック"/>
          <w:bCs/>
          <w:color w:val="333333"/>
          <w:kern w:val="0"/>
          <w:szCs w:val="21"/>
        </w:rPr>
      </w:pPr>
    </w:p>
    <w:p w:rsidR="0004011C" w:rsidRPr="00BA2930" w:rsidRDefault="00AC01B3" w:rsidP="00A33AD0">
      <w:pPr>
        <w:pStyle w:val="Default"/>
        <w:rPr>
          <w:rFonts w:asciiTheme="minorEastAsia" w:eastAsiaTheme="minorEastAsia" w:hAnsiTheme="minorEastAsia"/>
          <w:b/>
          <w:sz w:val="21"/>
          <w:szCs w:val="21"/>
        </w:rPr>
      </w:pPr>
      <w:r>
        <w:rPr>
          <w:rFonts w:asciiTheme="minorEastAsia" w:eastAsiaTheme="minorEastAsia" w:hAnsiTheme="minorEastAsia" w:hint="eastAsia"/>
          <w:b/>
          <w:sz w:val="21"/>
          <w:szCs w:val="21"/>
        </w:rPr>
        <w:t>1.</w:t>
      </w:r>
      <w:r w:rsidR="0004011C" w:rsidRPr="00BA2930">
        <w:rPr>
          <w:rFonts w:asciiTheme="minorEastAsia" w:eastAsiaTheme="minorEastAsia" w:hAnsiTheme="minorEastAsia" w:hint="eastAsia"/>
          <w:b/>
          <w:sz w:val="21"/>
          <w:szCs w:val="21"/>
        </w:rPr>
        <w:t>貯蔵</w:t>
      </w:r>
    </w:p>
    <w:p w:rsidR="00A33AD0" w:rsidRPr="00BA2930" w:rsidRDefault="00A33AD0" w:rsidP="00A33AD0">
      <w:pPr>
        <w:pStyle w:val="Default"/>
        <w:rPr>
          <w:rFonts w:asciiTheme="minorEastAsia" w:eastAsiaTheme="minorEastAsia" w:hAnsiTheme="minorEastAsia"/>
          <w:sz w:val="21"/>
          <w:szCs w:val="21"/>
        </w:rPr>
      </w:pPr>
      <w:r w:rsidRPr="00BA2930">
        <w:rPr>
          <w:rFonts w:asciiTheme="minorEastAsia" w:eastAsiaTheme="minorEastAsia" w:hAnsiTheme="minorEastAsia" w:hint="eastAsia"/>
          <w:sz w:val="21"/>
          <w:szCs w:val="21"/>
        </w:rPr>
        <w:t>毒物劇物の盗難・紛失・漏洩等を防ぐのに必要な措置を講じなければな</w:t>
      </w:r>
      <w:r w:rsidR="00AC01B3">
        <w:rPr>
          <w:rFonts w:asciiTheme="minorEastAsia" w:eastAsiaTheme="minorEastAsia" w:hAnsiTheme="minorEastAsia" w:hint="eastAsia"/>
          <w:sz w:val="21"/>
          <w:szCs w:val="21"/>
        </w:rPr>
        <w:t>らない</w:t>
      </w:r>
      <w:r w:rsidRPr="00BA2930">
        <w:rPr>
          <w:rFonts w:asciiTheme="minorEastAsia" w:eastAsiaTheme="minorEastAsia" w:hAnsiTheme="minorEastAsia" w:hint="eastAsia"/>
          <w:sz w:val="21"/>
          <w:szCs w:val="21"/>
        </w:rPr>
        <w:t>。</w:t>
      </w:r>
    </w:p>
    <w:p w:rsidR="00A33AD0" w:rsidRDefault="00A33AD0" w:rsidP="00A33AD0">
      <w:pPr>
        <w:pStyle w:val="Default"/>
        <w:rPr>
          <w:rFonts w:asciiTheme="minorEastAsia" w:eastAsiaTheme="minorEastAsia" w:hAnsiTheme="minorEastAsia"/>
          <w:bCs/>
          <w:color w:val="000000" w:themeColor="text1"/>
          <w:sz w:val="21"/>
          <w:szCs w:val="21"/>
        </w:rPr>
      </w:pPr>
      <w:r w:rsidRPr="00BA2930">
        <w:rPr>
          <w:rFonts w:asciiTheme="minorEastAsia" w:eastAsiaTheme="minorEastAsia" w:hAnsiTheme="minorEastAsia" w:hint="eastAsia"/>
          <w:sz w:val="21"/>
          <w:szCs w:val="21"/>
        </w:rPr>
        <w:t>保管場所は、鍵のかかる丈夫</w:t>
      </w:r>
      <w:r w:rsidR="00B30963">
        <w:rPr>
          <w:rFonts w:asciiTheme="minorEastAsia" w:eastAsiaTheme="minorEastAsia" w:hAnsiTheme="minorEastAsia" w:hint="eastAsia"/>
          <w:sz w:val="21"/>
          <w:szCs w:val="21"/>
        </w:rPr>
        <w:t>なものにして</w:t>
      </w:r>
      <w:r w:rsidRPr="00BA2930">
        <w:rPr>
          <w:rFonts w:asciiTheme="minorEastAsia" w:eastAsiaTheme="minorEastAsia" w:hAnsiTheme="minorEastAsia" w:hint="eastAsia"/>
          <w:sz w:val="21"/>
          <w:szCs w:val="21"/>
        </w:rPr>
        <w:t>他のものと明確に区別された毒物・劇物専用のものと</w:t>
      </w:r>
      <w:r w:rsidR="00AC01B3">
        <w:rPr>
          <w:rFonts w:asciiTheme="minorEastAsia" w:eastAsiaTheme="minorEastAsia" w:hAnsiTheme="minorEastAsia" w:hint="eastAsia"/>
          <w:sz w:val="21"/>
          <w:szCs w:val="21"/>
        </w:rPr>
        <w:t>する</w:t>
      </w:r>
      <w:r w:rsidRPr="00BA2930">
        <w:rPr>
          <w:rFonts w:asciiTheme="minorEastAsia" w:eastAsiaTheme="minorEastAsia" w:hAnsiTheme="minorEastAsia" w:hint="eastAsia"/>
          <w:sz w:val="21"/>
          <w:szCs w:val="21"/>
        </w:rPr>
        <w:t>。</w:t>
      </w:r>
      <w:r w:rsidR="0004011C" w:rsidRPr="00BA2930">
        <w:rPr>
          <w:rFonts w:asciiTheme="minorEastAsia" w:eastAsiaTheme="minorEastAsia" w:hAnsiTheme="minorEastAsia" w:hint="eastAsia"/>
          <w:sz w:val="21"/>
          <w:szCs w:val="21"/>
        </w:rPr>
        <w:t>（</w:t>
      </w:r>
      <w:r w:rsidR="004F3409">
        <w:rPr>
          <w:rFonts w:asciiTheme="minorEastAsia" w:eastAsiaTheme="minorEastAsia" w:hAnsiTheme="minorEastAsia" w:hint="eastAsia"/>
          <w:sz w:val="21"/>
          <w:szCs w:val="21"/>
        </w:rPr>
        <w:t>図</w:t>
      </w:r>
      <w:r w:rsidRPr="00BA2930">
        <w:rPr>
          <w:rFonts w:asciiTheme="minorEastAsia" w:eastAsiaTheme="minorEastAsia" w:hAnsiTheme="minorEastAsia" w:hint="eastAsia"/>
          <w:sz w:val="21"/>
          <w:szCs w:val="21"/>
        </w:rPr>
        <w:t>1</w:t>
      </w:r>
      <w:r w:rsidR="0004011C" w:rsidRPr="00BA2930">
        <w:rPr>
          <w:rFonts w:asciiTheme="minorEastAsia" w:eastAsiaTheme="minorEastAsia" w:hAnsiTheme="minorEastAsia" w:hint="eastAsia"/>
          <w:sz w:val="21"/>
          <w:szCs w:val="21"/>
        </w:rPr>
        <w:t>）</w:t>
      </w:r>
      <w:r w:rsidR="00FE7456" w:rsidRPr="00FE7456">
        <w:rPr>
          <w:rFonts w:asciiTheme="minorEastAsia" w:eastAsiaTheme="minorEastAsia" w:hAnsiTheme="minorEastAsia" w:hint="eastAsia"/>
          <w:bCs/>
          <w:color w:val="000000" w:themeColor="text1"/>
          <w:sz w:val="21"/>
          <w:szCs w:val="21"/>
        </w:rPr>
        <w:t>薬局で</w:t>
      </w:r>
      <w:r w:rsidR="00FE7456">
        <w:rPr>
          <w:rFonts w:asciiTheme="minorEastAsia" w:eastAsiaTheme="minorEastAsia" w:hAnsiTheme="minorEastAsia" w:hint="eastAsia"/>
          <w:bCs/>
          <w:color w:val="000000" w:themeColor="text1"/>
          <w:sz w:val="21"/>
          <w:szCs w:val="21"/>
        </w:rPr>
        <w:t>取り扱う場合は</w:t>
      </w:r>
      <w:r w:rsidR="00FE7456" w:rsidRPr="00FE7456">
        <w:rPr>
          <w:rFonts w:asciiTheme="minorEastAsia" w:eastAsiaTheme="minorEastAsia" w:hAnsiTheme="minorEastAsia" w:hint="eastAsia"/>
          <w:bCs/>
          <w:color w:val="000000" w:themeColor="text1"/>
          <w:sz w:val="21"/>
          <w:szCs w:val="21"/>
        </w:rPr>
        <w:t>毒物劇物の保管庫を調剤室以外の場所で人目につきにくい場所に設置</w:t>
      </w:r>
      <w:r w:rsidR="00AC01B3">
        <w:rPr>
          <w:rFonts w:asciiTheme="minorEastAsia" w:eastAsiaTheme="minorEastAsia" w:hAnsiTheme="minorEastAsia" w:hint="eastAsia"/>
          <w:bCs/>
          <w:color w:val="000000" w:themeColor="text1"/>
          <w:sz w:val="21"/>
          <w:szCs w:val="21"/>
        </w:rPr>
        <w:t>する</w:t>
      </w:r>
      <w:r w:rsidR="00FE7456" w:rsidRPr="00FE7456">
        <w:rPr>
          <w:rFonts w:asciiTheme="minorEastAsia" w:eastAsiaTheme="minorEastAsia" w:hAnsiTheme="minorEastAsia" w:hint="eastAsia"/>
          <w:bCs/>
          <w:color w:val="000000" w:themeColor="text1"/>
          <w:sz w:val="21"/>
          <w:szCs w:val="21"/>
        </w:rPr>
        <w:t>。</w:t>
      </w:r>
    </w:p>
    <w:p w:rsidR="00385CAA" w:rsidRPr="00FE7456" w:rsidRDefault="00385CAA" w:rsidP="00A33AD0">
      <w:pPr>
        <w:pStyle w:val="Default"/>
        <w:rPr>
          <w:rFonts w:asciiTheme="minorEastAsia" w:eastAsiaTheme="minorEastAsia" w:hAnsiTheme="minorEastAsia"/>
          <w:color w:val="000000" w:themeColor="text1"/>
          <w:sz w:val="21"/>
          <w:szCs w:val="21"/>
        </w:rPr>
      </w:pPr>
      <w:r>
        <w:rPr>
          <w:rFonts w:asciiTheme="minorEastAsia" w:eastAsiaTheme="minorEastAsia" w:hAnsiTheme="minorEastAsia"/>
          <w:noProof/>
          <w:color w:val="000000" w:themeColor="text1"/>
          <w:sz w:val="21"/>
          <w:szCs w:val="21"/>
        </w:rPr>
        <w:drawing>
          <wp:inline distT="0" distB="0" distL="0" distR="0">
            <wp:extent cx="1758950" cy="106690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8950" cy="1066904"/>
                    </a:xfrm>
                    <a:prstGeom prst="rect">
                      <a:avLst/>
                    </a:prstGeom>
                    <a:noFill/>
                    <a:ln>
                      <a:noFill/>
                    </a:ln>
                  </pic:spPr>
                </pic:pic>
              </a:graphicData>
            </a:graphic>
          </wp:inline>
        </w:drawing>
      </w:r>
    </w:p>
    <w:p w:rsidR="007921C2" w:rsidRPr="00BA2930" w:rsidRDefault="004F3409" w:rsidP="00A33AD0">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図</w:t>
      </w:r>
      <w:r w:rsidR="007921C2" w:rsidRPr="00BA2930">
        <w:rPr>
          <w:rFonts w:asciiTheme="minorEastAsia" w:eastAsiaTheme="minorEastAsia" w:hAnsiTheme="minorEastAsia" w:hint="eastAsia"/>
          <w:sz w:val="21"/>
          <w:szCs w:val="21"/>
        </w:rPr>
        <w:t>1　貯蔵場所</w:t>
      </w:r>
    </w:p>
    <w:p w:rsidR="00A33AD0" w:rsidRPr="00BA2930" w:rsidRDefault="00A33AD0" w:rsidP="00A33AD0">
      <w:pPr>
        <w:pStyle w:val="Default"/>
        <w:rPr>
          <w:rFonts w:asciiTheme="minorEastAsia" w:eastAsiaTheme="minorEastAsia" w:hAnsiTheme="minorEastAsia"/>
          <w:sz w:val="21"/>
          <w:szCs w:val="21"/>
        </w:rPr>
      </w:pPr>
      <w:r w:rsidRPr="00BA2930">
        <w:rPr>
          <w:rFonts w:asciiTheme="minorEastAsia" w:eastAsiaTheme="minorEastAsia" w:hAnsiTheme="minorEastAsia" w:hint="eastAsia"/>
          <w:sz w:val="21"/>
          <w:szCs w:val="21"/>
        </w:rPr>
        <w:t>毒物劇物の容器、被包及び貯蔵・陳列場所に「医薬用外毒物」「医薬用外劇物」の表示が必要で</w:t>
      </w:r>
      <w:r w:rsidR="00AC01B3">
        <w:rPr>
          <w:rFonts w:asciiTheme="minorEastAsia" w:eastAsiaTheme="minorEastAsia" w:hAnsiTheme="minorEastAsia" w:hint="eastAsia"/>
          <w:sz w:val="21"/>
          <w:szCs w:val="21"/>
        </w:rPr>
        <w:t>ある</w:t>
      </w:r>
      <w:r w:rsidRPr="00BA2930">
        <w:rPr>
          <w:rFonts w:asciiTheme="minorEastAsia" w:eastAsiaTheme="minorEastAsia" w:hAnsiTheme="minorEastAsia" w:hint="eastAsia"/>
          <w:sz w:val="21"/>
          <w:szCs w:val="21"/>
        </w:rPr>
        <w:t>。</w:t>
      </w:r>
      <w:r w:rsidR="0004011C" w:rsidRPr="00BA2930">
        <w:rPr>
          <w:rFonts w:asciiTheme="minorEastAsia" w:eastAsiaTheme="minorEastAsia" w:hAnsiTheme="minorEastAsia" w:hint="eastAsia"/>
          <w:sz w:val="21"/>
          <w:szCs w:val="21"/>
        </w:rPr>
        <w:t>（</w:t>
      </w:r>
      <w:r w:rsidR="004F3409">
        <w:rPr>
          <w:rFonts w:asciiTheme="minorEastAsia" w:eastAsiaTheme="minorEastAsia" w:hAnsiTheme="minorEastAsia" w:hint="eastAsia"/>
          <w:sz w:val="21"/>
          <w:szCs w:val="21"/>
        </w:rPr>
        <w:t>図</w:t>
      </w:r>
      <w:r w:rsidR="0004011C" w:rsidRPr="00BA2930">
        <w:rPr>
          <w:rFonts w:asciiTheme="minorEastAsia" w:eastAsiaTheme="minorEastAsia" w:hAnsiTheme="minorEastAsia" w:hint="eastAsia"/>
          <w:sz w:val="21"/>
          <w:szCs w:val="21"/>
        </w:rPr>
        <w:t>２）</w:t>
      </w:r>
      <w:r w:rsidR="00AF18D7" w:rsidRPr="00BA2930">
        <w:rPr>
          <w:rFonts w:asciiTheme="minorEastAsia" w:eastAsiaTheme="minorEastAsia" w:hAnsiTheme="minorEastAsia" w:hint="eastAsia"/>
          <w:sz w:val="21"/>
          <w:szCs w:val="21"/>
        </w:rPr>
        <w:t>毒物は赤地に白色をもって「毒物」の文字、劇物については白地に赤色をもって「劇物」も文字を表示しなければ</w:t>
      </w:r>
      <w:r w:rsidR="00B30963">
        <w:rPr>
          <w:rFonts w:asciiTheme="minorEastAsia" w:eastAsiaTheme="minorEastAsia" w:hAnsiTheme="minorEastAsia" w:hint="eastAsia"/>
          <w:sz w:val="21"/>
          <w:szCs w:val="21"/>
        </w:rPr>
        <w:t>ならない</w:t>
      </w:r>
      <w:r w:rsidR="00AF18D7" w:rsidRPr="00BA2930">
        <w:rPr>
          <w:rFonts w:asciiTheme="minorEastAsia" w:eastAsiaTheme="minorEastAsia" w:hAnsiTheme="minorEastAsia" w:hint="eastAsia"/>
          <w:sz w:val="21"/>
          <w:szCs w:val="21"/>
        </w:rPr>
        <w:t>。</w:t>
      </w:r>
    </w:p>
    <w:p w:rsidR="00200F67" w:rsidRPr="00BA2930" w:rsidRDefault="00200F67" w:rsidP="00A33AD0">
      <w:pPr>
        <w:pStyle w:val="Default"/>
        <w:rPr>
          <w:rFonts w:asciiTheme="minorEastAsia" w:eastAsiaTheme="minorEastAsia" w:hAnsiTheme="minorEastAsia"/>
          <w:sz w:val="21"/>
          <w:szCs w:val="21"/>
        </w:rPr>
      </w:pPr>
      <w:r w:rsidRPr="00BA2930">
        <w:rPr>
          <w:rFonts w:asciiTheme="minorEastAsia" w:eastAsiaTheme="minorEastAsia" w:hAnsiTheme="minorEastAsia"/>
          <w:noProof/>
          <w:sz w:val="21"/>
          <w:szCs w:val="21"/>
        </w:rPr>
        <w:lastRenderedPageBreak/>
        <w:drawing>
          <wp:inline distT="0" distB="0" distL="0" distR="0" wp14:anchorId="32A542F6" wp14:editId="0906A18D">
            <wp:extent cx="1260298" cy="1678914"/>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2774" cy="1682212"/>
                    </a:xfrm>
                    <a:prstGeom prst="rect">
                      <a:avLst/>
                    </a:prstGeom>
                    <a:noFill/>
                    <a:ln>
                      <a:noFill/>
                    </a:ln>
                  </pic:spPr>
                </pic:pic>
              </a:graphicData>
            </a:graphic>
          </wp:inline>
        </w:drawing>
      </w:r>
    </w:p>
    <w:p w:rsidR="00200F67" w:rsidRPr="00BA2930" w:rsidRDefault="004F3409" w:rsidP="00A33AD0">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図</w:t>
      </w:r>
      <w:r w:rsidR="00764C09" w:rsidRPr="00BA2930">
        <w:rPr>
          <w:rFonts w:asciiTheme="minorEastAsia" w:eastAsiaTheme="minorEastAsia" w:hAnsiTheme="minorEastAsia" w:hint="eastAsia"/>
          <w:sz w:val="21"/>
          <w:szCs w:val="21"/>
        </w:rPr>
        <w:t>2　表示見本</w:t>
      </w:r>
    </w:p>
    <w:p w:rsidR="00AF18D7" w:rsidRPr="00097889" w:rsidRDefault="00AC01B3" w:rsidP="00A33AD0">
      <w:pPr>
        <w:pStyle w:val="Default"/>
        <w:rPr>
          <w:rFonts w:asciiTheme="minorEastAsia" w:eastAsiaTheme="minorEastAsia" w:hAnsiTheme="minorEastAsia"/>
          <w:b/>
          <w:sz w:val="21"/>
          <w:szCs w:val="21"/>
        </w:rPr>
      </w:pPr>
      <w:r>
        <w:rPr>
          <w:rFonts w:asciiTheme="minorEastAsia" w:eastAsiaTheme="minorEastAsia" w:hAnsiTheme="minorEastAsia" w:hint="eastAsia"/>
          <w:b/>
          <w:sz w:val="21"/>
          <w:szCs w:val="21"/>
        </w:rPr>
        <w:t>2.</w:t>
      </w:r>
      <w:r w:rsidR="009D4703" w:rsidRPr="00097889">
        <w:rPr>
          <w:rFonts w:asciiTheme="minorEastAsia" w:eastAsiaTheme="minorEastAsia" w:hAnsiTheme="minorEastAsia" w:hint="eastAsia"/>
          <w:b/>
          <w:sz w:val="21"/>
          <w:szCs w:val="21"/>
        </w:rPr>
        <w:t>譲渡・販売</w:t>
      </w:r>
    </w:p>
    <w:p w:rsidR="00A33AD0" w:rsidRPr="00BA2930" w:rsidRDefault="00A33AD0" w:rsidP="00A33AD0">
      <w:pPr>
        <w:pStyle w:val="Default"/>
        <w:rPr>
          <w:rFonts w:asciiTheme="minorEastAsia" w:eastAsiaTheme="minorEastAsia" w:hAnsiTheme="minorEastAsia"/>
          <w:sz w:val="21"/>
          <w:szCs w:val="21"/>
        </w:rPr>
      </w:pPr>
      <w:r w:rsidRPr="00BA2930">
        <w:rPr>
          <w:rFonts w:asciiTheme="minorEastAsia" w:eastAsiaTheme="minorEastAsia" w:hAnsiTheme="minorEastAsia" w:hint="eastAsia"/>
          <w:sz w:val="21"/>
          <w:szCs w:val="21"/>
        </w:rPr>
        <w:t>販売又は授与に際しては、</w:t>
      </w:r>
      <w:r w:rsidR="009D4703" w:rsidRPr="00BA2930">
        <w:rPr>
          <w:rFonts w:asciiTheme="minorEastAsia" w:eastAsiaTheme="minorEastAsia" w:hAnsiTheme="minorEastAsia" w:hint="eastAsia"/>
          <w:sz w:val="21"/>
          <w:szCs w:val="21"/>
        </w:rPr>
        <w:t>毒劇物の名称・数量、販売年月日、譲受人の氏名・職業・住所などの</w:t>
      </w:r>
      <w:r w:rsidRPr="00BA2930">
        <w:rPr>
          <w:rFonts w:asciiTheme="minorEastAsia" w:eastAsiaTheme="minorEastAsia" w:hAnsiTheme="minorEastAsia" w:hint="eastAsia"/>
          <w:sz w:val="21"/>
          <w:szCs w:val="21"/>
        </w:rPr>
        <w:t>必要事項を書面に記載して、５年間保存する義務があ</w:t>
      </w:r>
      <w:r w:rsidR="00AC01B3">
        <w:rPr>
          <w:rFonts w:asciiTheme="minorEastAsia" w:eastAsiaTheme="minorEastAsia" w:hAnsiTheme="minorEastAsia" w:hint="eastAsia"/>
          <w:sz w:val="21"/>
          <w:szCs w:val="21"/>
        </w:rPr>
        <w:t>る</w:t>
      </w:r>
      <w:r w:rsidRPr="00BA2930">
        <w:rPr>
          <w:rFonts w:asciiTheme="minorEastAsia" w:eastAsiaTheme="minorEastAsia" w:hAnsiTheme="minorEastAsia" w:hint="eastAsia"/>
          <w:sz w:val="21"/>
          <w:szCs w:val="21"/>
        </w:rPr>
        <w:t>。</w:t>
      </w:r>
      <w:r w:rsidR="009D4703" w:rsidRPr="00BA2930">
        <w:rPr>
          <w:rFonts w:asciiTheme="minorEastAsia" w:eastAsiaTheme="minorEastAsia" w:hAnsiTheme="minorEastAsia" w:hint="eastAsia"/>
          <w:sz w:val="21"/>
          <w:szCs w:val="21"/>
        </w:rPr>
        <w:t>（</w:t>
      </w:r>
      <w:r w:rsidR="004F3409">
        <w:rPr>
          <w:rFonts w:asciiTheme="minorEastAsia" w:eastAsiaTheme="minorEastAsia" w:hAnsiTheme="minorEastAsia" w:hint="eastAsia"/>
          <w:sz w:val="21"/>
          <w:szCs w:val="21"/>
        </w:rPr>
        <w:t>図</w:t>
      </w:r>
      <w:r w:rsidR="009D4703" w:rsidRPr="00BA2930">
        <w:rPr>
          <w:rFonts w:asciiTheme="minorEastAsia" w:eastAsiaTheme="minorEastAsia" w:hAnsiTheme="minorEastAsia" w:hint="eastAsia"/>
          <w:sz w:val="21"/>
          <w:szCs w:val="21"/>
        </w:rPr>
        <w:t>3）</w:t>
      </w:r>
    </w:p>
    <w:p w:rsidR="00A33AD0" w:rsidRPr="00BA2930" w:rsidRDefault="00A33AD0" w:rsidP="00A33AD0">
      <w:pPr>
        <w:rPr>
          <w:rFonts w:asciiTheme="minorEastAsia" w:hAnsiTheme="minorEastAsia"/>
          <w:szCs w:val="21"/>
        </w:rPr>
      </w:pPr>
      <w:r w:rsidRPr="00BA2930">
        <w:rPr>
          <w:rFonts w:asciiTheme="minorEastAsia" w:hAnsiTheme="minorEastAsia" w:hint="eastAsia"/>
          <w:szCs w:val="21"/>
        </w:rPr>
        <w:t>また、１８歳未満の少年</w:t>
      </w:r>
      <w:r w:rsidR="009D4703" w:rsidRPr="00BA2930">
        <w:rPr>
          <w:rFonts w:asciiTheme="minorEastAsia" w:hAnsiTheme="minorEastAsia" w:hint="eastAsia"/>
          <w:szCs w:val="21"/>
        </w:rPr>
        <w:t>・中毒者</w:t>
      </w:r>
      <w:r w:rsidRPr="00BA2930">
        <w:rPr>
          <w:rFonts w:asciiTheme="minorEastAsia" w:hAnsiTheme="minorEastAsia" w:hint="eastAsia"/>
          <w:szCs w:val="21"/>
        </w:rPr>
        <w:t>等には交付してはな</w:t>
      </w:r>
      <w:r w:rsidR="00AC01B3">
        <w:rPr>
          <w:rFonts w:asciiTheme="minorEastAsia" w:hAnsiTheme="minorEastAsia" w:hint="eastAsia"/>
          <w:szCs w:val="21"/>
        </w:rPr>
        <w:t>らない</w:t>
      </w:r>
      <w:r w:rsidRPr="00BA2930">
        <w:rPr>
          <w:rFonts w:asciiTheme="minorEastAsia" w:hAnsiTheme="minorEastAsia" w:hint="eastAsia"/>
          <w:szCs w:val="21"/>
        </w:rPr>
        <w:t>。</w:t>
      </w:r>
    </w:p>
    <w:p w:rsidR="007D5209" w:rsidRPr="00BA2930" w:rsidRDefault="007D5209" w:rsidP="00A33AD0">
      <w:pPr>
        <w:rPr>
          <w:rFonts w:asciiTheme="minorEastAsia" w:hAnsiTheme="minorEastAsia"/>
          <w:szCs w:val="21"/>
        </w:rPr>
      </w:pPr>
      <w:r w:rsidRPr="00BA2930">
        <w:rPr>
          <w:rFonts w:asciiTheme="minorEastAsia" w:hAnsiTheme="minorEastAsia"/>
          <w:noProof/>
          <w:szCs w:val="21"/>
        </w:rPr>
        <w:drawing>
          <wp:inline distT="0" distB="0" distL="0" distR="0" wp14:anchorId="5E704AF4" wp14:editId="14F85D57">
            <wp:extent cx="1342192" cy="2080306"/>
            <wp:effectExtent l="0" t="7302" r="3492" b="3493"/>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342469" cy="2080736"/>
                    </a:xfrm>
                    <a:prstGeom prst="rect">
                      <a:avLst/>
                    </a:prstGeom>
                    <a:noFill/>
                    <a:ln>
                      <a:noFill/>
                    </a:ln>
                  </pic:spPr>
                </pic:pic>
              </a:graphicData>
            </a:graphic>
          </wp:inline>
        </w:drawing>
      </w:r>
    </w:p>
    <w:p w:rsidR="007D5209" w:rsidRPr="00BA2930" w:rsidRDefault="004F3409" w:rsidP="00A33AD0">
      <w:pPr>
        <w:rPr>
          <w:rFonts w:asciiTheme="minorEastAsia" w:hAnsiTheme="minorEastAsia"/>
          <w:szCs w:val="21"/>
        </w:rPr>
      </w:pPr>
      <w:r>
        <w:rPr>
          <w:rFonts w:asciiTheme="minorEastAsia" w:hAnsiTheme="minorEastAsia" w:hint="eastAsia"/>
          <w:szCs w:val="21"/>
        </w:rPr>
        <w:t>図</w:t>
      </w:r>
      <w:r w:rsidR="007D5209" w:rsidRPr="00BA2930">
        <w:rPr>
          <w:rFonts w:asciiTheme="minorEastAsia" w:hAnsiTheme="minorEastAsia" w:hint="eastAsia"/>
          <w:szCs w:val="21"/>
        </w:rPr>
        <w:t>3　毒物劇物譲受書</w:t>
      </w:r>
    </w:p>
    <w:p w:rsidR="009D4703" w:rsidRPr="00097889" w:rsidRDefault="00AC01B3" w:rsidP="009D4703">
      <w:pPr>
        <w:pStyle w:val="Default"/>
        <w:rPr>
          <w:rFonts w:asciiTheme="minorEastAsia" w:eastAsiaTheme="minorEastAsia" w:hAnsiTheme="minorEastAsia"/>
          <w:b/>
          <w:sz w:val="21"/>
          <w:szCs w:val="21"/>
        </w:rPr>
      </w:pPr>
      <w:r>
        <w:rPr>
          <w:rFonts w:asciiTheme="minorEastAsia" w:eastAsiaTheme="minorEastAsia" w:hAnsiTheme="minorEastAsia" w:hint="eastAsia"/>
          <w:b/>
          <w:sz w:val="21"/>
          <w:szCs w:val="21"/>
        </w:rPr>
        <w:t>3.</w:t>
      </w:r>
      <w:r w:rsidR="009D4703" w:rsidRPr="00097889">
        <w:rPr>
          <w:rFonts w:asciiTheme="minorEastAsia" w:eastAsiaTheme="minorEastAsia" w:hAnsiTheme="minorEastAsia" w:hint="eastAsia"/>
          <w:b/>
          <w:sz w:val="21"/>
          <w:szCs w:val="21"/>
        </w:rPr>
        <w:t>情報</w:t>
      </w:r>
      <w:r w:rsidR="00567F4A" w:rsidRPr="00097889">
        <w:rPr>
          <w:rFonts w:asciiTheme="minorEastAsia" w:eastAsiaTheme="minorEastAsia" w:hAnsiTheme="minorEastAsia" w:hint="eastAsia"/>
          <w:b/>
          <w:sz w:val="21"/>
          <w:szCs w:val="21"/>
        </w:rPr>
        <w:t>の</w:t>
      </w:r>
      <w:r w:rsidR="009D4703" w:rsidRPr="00097889">
        <w:rPr>
          <w:rFonts w:asciiTheme="minorEastAsia" w:eastAsiaTheme="minorEastAsia" w:hAnsiTheme="minorEastAsia" w:hint="eastAsia"/>
          <w:b/>
          <w:sz w:val="21"/>
          <w:szCs w:val="21"/>
        </w:rPr>
        <w:t>提供</w:t>
      </w:r>
      <w:r w:rsidR="00567F4A" w:rsidRPr="00097889">
        <w:rPr>
          <w:rFonts w:asciiTheme="minorEastAsia" w:eastAsiaTheme="minorEastAsia" w:hAnsiTheme="minorEastAsia" w:hint="eastAsia"/>
          <w:b/>
          <w:sz w:val="21"/>
          <w:szCs w:val="21"/>
        </w:rPr>
        <w:t>義務</w:t>
      </w:r>
      <w:r w:rsidR="00E63966" w:rsidRPr="00097889">
        <w:rPr>
          <w:rFonts w:asciiTheme="minorEastAsia" w:eastAsiaTheme="minorEastAsia" w:hAnsiTheme="minorEastAsia" w:hint="eastAsia"/>
          <w:b/>
          <w:sz w:val="21"/>
          <w:szCs w:val="21"/>
        </w:rPr>
        <w:t>（ＭＳＤＳ）</w:t>
      </w:r>
    </w:p>
    <w:p w:rsidR="00567F4A" w:rsidRPr="00BA2930" w:rsidRDefault="00567F4A" w:rsidP="00A33AD0">
      <w:pPr>
        <w:rPr>
          <w:rFonts w:asciiTheme="minorEastAsia" w:hAnsiTheme="minorEastAsia"/>
          <w:szCs w:val="21"/>
        </w:rPr>
      </w:pPr>
      <w:r w:rsidRPr="00BA2930">
        <w:rPr>
          <w:rFonts w:asciiTheme="minorEastAsia" w:hAnsiTheme="minorEastAsia" w:hint="eastAsia"/>
          <w:szCs w:val="21"/>
        </w:rPr>
        <w:t>販売する際には譲受人に対して文書や磁気ディスク等による情報提供を義務付けてい</w:t>
      </w:r>
      <w:r w:rsidR="00AC01B3">
        <w:rPr>
          <w:rFonts w:asciiTheme="minorEastAsia" w:hAnsiTheme="minorEastAsia" w:hint="eastAsia"/>
          <w:szCs w:val="21"/>
        </w:rPr>
        <w:t>る</w:t>
      </w:r>
      <w:r w:rsidRPr="00BA2930">
        <w:rPr>
          <w:rFonts w:asciiTheme="minorEastAsia" w:hAnsiTheme="minorEastAsia" w:hint="eastAsia"/>
          <w:szCs w:val="21"/>
        </w:rPr>
        <w:t>。</w:t>
      </w:r>
    </w:p>
    <w:p w:rsidR="00A33AD0" w:rsidRPr="00BA2930" w:rsidRDefault="00567F4A">
      <w:pPr>
        <w:rPr>
          <w:rFonts w:asciiTheme="minorEastAsia" w:hAnsiTheme="minorEastAsia"/>
          <w:szCs w:val="21"/>
        </w:rPr>
      </w:pPr>
      <w:r w:rsidRPr="00BA2930">
        <w:rPr>
          <w:rFonts w:asciiTheme="minorEastAsia" w:hAnsiTheme="minorEastAsia" w:hint="eastAsia"/>
          <w:szCs w:val="21"/>
        </w:rPr>
        <w:t>提供しなければならない情報</w:t>
      </w:r>
      <w:r w:rsidR="00E63966" w:rsidRPr="00BA2930">
        <w:rPr>
          <w:rFonts w:asciiTheme="minorEastAsia" w:hAnsiTheme="minorEastAsia" w:hint="eastAsia"/>
          <w:szCs w:val="21"/>
        </w:rPr>
        <w:t>は取扱い保管上の注意、応急措置、毒性に関する情報等13項目</w:t>
      </w:r>
      <w:r w:rsidR="00AC01B3">
        <w:rPr>
          <w:rFonts w:asciiTheme="minorEastAsia" w:hAnsiTheme="minorEastAsia" w:hint="eastAsia"/>
          <w:szCs w:val="21"/>
        </w:rPr>
        <w:t>ある</w:t>
      </w:r>
      <w:r w:rsidR="00E63966" w:rsidRPr="00BA2930">
        <w:rPr>
          <w:rFonts w:asciiTheme="minorEastAsia" w:hAnsiTheme="minorEastAsia" w:hint="eastAsia"/>
          <w:szCs w:val="21"/>
        </w:rPr>
        <w:t>。これは関係事業者が自主的に作成した</w:t>
      </w:r>
      <w:r w:rsidR="00A33AD0" w:rsidRPr="00BA2930">
        <w:rPr>
          <w:rFonts w:asciiTheme="minorEastAsia" w:hAnsiTheme="minorEastAsia" w:hint="eastAsia"/>
          <w:szCs w:val="21"/>
        </w:rPr>
        <w:t>化学物質安全性データシート</w:t>
      </w:r>
      <w:r w:rsidR="00E63966" w:rsidRPr="00BA2930">
        <w:rPr>
          <w:rFonts w:asciiTheme="minorEastAsia" w:hAnsiTheme="minorEastAsia" w:hint="eastAsia"/>
          <w:szCs w:val="21"/>
        </w:rPr>
        <w:t>（ＭＳＤＳ）</w:t>
      </w:r>
      <w:r w:rsidR="00AC01B3">
        <w:rPr>
          <w:rFonts w:asciiTheme="minorEastAsia" w:hAnsiTheme="minorEastAsia" w:hint="eastAsia"/>
          <w:szCs w:val="21"/>
        </w:rPr>
        <w:t>というものがあり、この</w:t>
      </w:r>
      <w:r w:rsidR="00E63966" w:rsidRPr="00BA2930">
        <w:rPr>
          <w:rFonts w:asciiTheme="minorEastAsia" w:hAnsiTheme="minorEastAsia" w:hint="eastAsia"/>
          <w:szCs w:val="21"/>
        </w:rPr>
        <w:t>項目を満たしていれば使用してさしつかえないとされてい</w:t>
      </w:r>
      <w:r w:rsidR="00AC01B3">
        <w:rPr>
          <w:rFonts w:asciiTheme="minorEastAsia" w:hAnsiTheme="minorEastAsia" w:hint="eastAsia"/>
          <w:szCs w:val="21"/>
        </w:rPr>
        <w:t>る</w:t>
      </w:r>
      <w:r w:rsidR="00E63966" w:rsidRPr="00BA2930">
        <w:rPr>
          <w:rFonts w:asciiTheme="minorEastAsia" w:hAnsiTheme="minorEastAsia" w:hint="eastAsia"/>
          <w:szCs w:val="21"/>
        </w:rPr>
        <w:t>。</w:t>
      </w:r>
    </w:p>
    <w:p w:rsidR="00C72627" w:rsidRPr="00097889" w:rsidRDefault="00AC01B3">
      <w:pPr>
        <w:rPr>
          <w:rFonts w:asciiTheme="minorEastAsia" w:hAnsiTheme="minorEastAsia"/>
          <w:b/>
          <w:szCs w:val="21"/>
        </w:rPr>
      </w:pPr>
      <w:r>
        <w:rPr>
          <w:rFonts w:asciiTheme="minorEastAsia" w:hAnsiTheme="minorEastAsia" w:hint="eastAsia"/>
          <w:b/>
          <w:szCs w:val="21"/>
        </w:rPr>
        <w:t>4.</w:t>
      </w:r>
      <w:r w:rsidR="00E63966" w:rsidRPr="00097889">
        <w:rPr>
          <w:rFonts w:asciiTheme="minorEastAsia" w:hAnsiTheme="minorEastAsia" w:hint="eastAsia"/>
          <w:b/>
          <w:szCs w:val="21"/>
        </w:rPr>
        <w:t>事故・盗難の際の措置</w:t>
      </w:r>
    </w:p>
    <w:p w:rsidR="00567F4A" w:rsidRPr="00BA2930" w:rsidRDefault="00567F4A" w:rsidP="00567F4A">
      <w:pPr>
        <w:pStyle w:val="Default"/>
        <w:rPr>
          <w:rFonts w:asciiTheme="minorEastAsia" w:eastAsiaTheme="minorEastAsia" w:hAnsiTheme="minorEastAsia"/>
          <w:sz w:val="21"/>
          <w:szCs w:val="21"/>
        </w:rPr>
      </w:pPr>
      <w:r w:rsidRPr="00BA2930">
        <w:rPr>
          <w:rFonts w:asciiTheme="minorEastAsia" w:eastAsiaTheme="minorEastAsia" w:hAnsiTheme="minorEastAsia" w:hint="eastAsia"/>
          <w:sz w:val="21"/>
          <w:szCs w:val="21"/>
        </w:rPr>
        <w:t>毒物劇物の漏洩等の事故が発生した場合には、保健所、消防署又は警察署に直ちに届け出るとともに、必要な応急の措置を講じる必要があ</w:t>
      </w:r>
      <w:r w:rsidR="00AC01B3">
        <w:rPr>
          <w:rFonts w:asciiTheme="minorEastAsia" w:eastAsiaTheme="minorEastAsia" w:hAnsiTheme="minorEastAsia" w:hint="eastAsia"/>
          <w:sz w:val="21"/>
          <w:szCs w:val="21"/>
        </w:rPr>
        <w:t>る</w:t>
      </w:r>
      <w:r w:rsidRPr="00BA2930">
        <w:rPr>
          <w:rFonts w:asciiTheme="minorEastAsia" w:eastAsiaTheme="minorEastAsia" w:hAnsiTheme="minorEastAsia" w:hint="eastAsia"/>
          <w:sz w:val="21"/>
          <w:szCs w:val="21"/>
        </w:rPr>
        <w:t>。</w:t>
      </w:r>
    </w:p>
    <w:p w:rsidR="00E63966" w:rsidRPr="00BA2930" w:rsidRDefault="00E63966" w:rsidP="00567F4A">
      <w:pPr>
        <w:pStyle w:val="Default"/>
        <w:rPr>
          <w:rFonts w:asciiTheme="minorEastAsia" w:eastAsiaTheme="minorEastAsia" w:hAnsiTheme="minorEastAsia"/>
          <w:sz w:val="21"/>
          <w:szCs w:val="21"/>
        </w:rPr>
      </w:pPr>
    </w:p>
    <w:p w:rsidR="00E63966" w:rsidRPr="00BA2930" w:rsidRDefault="00E63966" w:rsidP="00567F4A">
      <w:pPr>
        <w:pStyle w:val="Default"/>
        <w:rPr>
          <w:rFonts w:asciiTheme="minorEastAsia" w:eastAsiaTheme="minorEastAsia" w:hAnsiTheme="minorEastAsia"/>
          <w:sz w:val="21"/>
          <w:szCs w:val="21"/>
        </w:rPr>
      </w:pPr>
    </w:p>
    <w:p w:rsidR="00E63966" w:rsidRPr="00BA2930" w:rsidRDefault="00744911" w:rsidP="00567F4A">
      <w:pPr>
        <w:pStyle w:val="Default"/>
        <w:rPr>
          <w:rFonts w:asciiTheme="minorEastAsia" w:eastAsiaTheme="minorEastAsia" w:hAnsiTheme="minorEastAsia"/>
          <w:sz w:val="21"/>
          <w:szCs w:val="21"/>
        </w:rPr>
      </w:pPr>
      <w:r w:rsidRPr="00BA2930">
        <w:rPr>
          <w:rFonts w:asciiTheme="minorEastAsia" w:eastAsiaTheme="minorEastAsia" w:hAnsiTheme="minorEastAsia" w:hint="eastAsia"/>
          <w:sz w:val="21"/>
          <w:szCs w:val="21"/>
        </w:rPr>
        <w:t>日本薬剤師会編：</w:t>
      </w:r>
      <w:r w:rsidR="00E63966" w:rsidRPr="00BA2930">
        <w:rPr>
          <w:rFonts w:asciiTheme="minorEastAsia" w:eastAsiaTheme="minorEastAsia" w:hAnsiTheme="minorEastAsia" w:hint="eastAsia"/>
          <w:sz w:val="21"/>
          <w:szCs w:val="21"/>
        </w:rPr>
        <w:t>毒物劇物取扱いハンドブック　第2版</w:t>
      </w:r>
      <w:r w:rsidRPr="00BA2930">
        <w:rPr>
          <w:rFonts w:asciiTheme="minorEastAsia" w:eastAsiaTheme="minorEastAsia" w:hAnsiTheme="minorEastAsia" w:hint="eastAsia"/>
          <w:sz w:val="21"/>
          <w:szCs w:val="21"/>
        </w:rPr>
        <w:t>.じほう.2012</w:t>
      </w:r>
    </w:p>
    <w:p w:rsidR="00200F67" w:rsidRPr="00BA2930" w:rsidRDefault="00200F67" w:rsidP="00567F4A">
      <w:pPr>
        <w:pStyle w:val="Default"/>
        <w:rPr>
          <w:rFonts w:asciiTheme="minorEastAsia" w:eastAsiaTheme="minorEastAsia" w:hAnsiTheme="minorEastAsia"/>
          <w:sz w:val="21"/>
          <w:szCs w:val="21"/>
        </w:rPr>
      </w:pPr>
    </w:p>
    <w:p w:rsidR="00200F67" w:rsidRPr="00BA2930" w:rsidRDefault="00200F67" w:rsidP="00567F4A">
      <w:pPr>
        <w:pStyle w:val="Default"/>
        <w:rPr>
          <w:rFonts w:asciiTheme="minorEastAsia" w:eastAsiaTheme="minorEastAsia" w:hAnsiTheme="minorEastAsia"/>
          <w:sz w:val="21"/>
          <w:szCs w:val="21"/>
        </w:rPr>
      </w:pPr>
    </w:p>
    <w:sectPr w:rsidR="00200F67" w:rsidRPr="00BA29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3F" w:rsidRDefault="00C6263F" w:rsidP="00C6263F">
      <w:r>
        <w:separator/>
      </w:r>
    </w:p>
  </w:endnote>
  <w:endnote w:type="continuationSeparator" w:id="0">
    <w:p w:rsidR="00C6263F" w:rsidRDefault="00C6263F" w:rsidP="00C6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3F" w:rsidRDefault="00C6263F" w:rsidP="00C6263F">
      <w:r>
        <w:separator/>
      </w:r>
    </w:p>
  </w:footnote>
  <w:footnote w:type="continuationSeparator" w:id="0">
    <w:p w:rsidR="00C6263F" w:rsidRDefault="00C6263F" w:rsidP="00C62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E5"/>
    <w:rsid w:val="0004011C"/>
    <w:rsid w:val="00097889"/>
    <w:rsid w:val="00200F67"/>
    <w:rsid w:val="00385CAA"/>
    <w:rsid w:val="004F3409"/>
    <w:rsid w:val="005264E5"/>
    <w:rsid w:val="00567F4A"/>
    <w:rsid w:val="0057647C"/>
    <w:rsid w:val="005A361D"/>
    <w:rsid w:val="006B296E"/>
    <w:rsid w:val="00744911"/>
    <w:rsid w:val="00764C09"/>
    <w:rsid w:val="007921C2"/>
    <w:rsid w:val="007D5209"/>
    <w:rsid w:val="008E363D"/>
    <w:rsid w:val="0091144C"/>
    <w:rsid w:val="00927F60"/>
    <w:rsid w:val="00931CB7"/>
    <w:rsid w:val="009D4703"/>
    <w:rsid w:val="00A33AD0"/>
    <w:rsid w:val="00AC01B3"/>
    <w:rsid w:val="00AF18D7"/>
    <w:rsid w:val="00B30963"/>
    <w:rsid w:val="00BA2930"/>
    <w:rsid w:val="00BB1195"/>
    <w:rsid w:val="00C6263F"/>
    <w:rsid w:val="00C72627"/>
    <w:rsid w:val="00CD4EA5"/>
    <w:rsid w:val="00D6306D"/>
    <w:rsid w:val="00DB45FB"/>
    <w:rsid w:val="00E63966"/>
    <w:rsid w:val="00EA00F8"/>
    <w:rsid w:val="00FA20BF"/>
    <w:rsid w:val="00FE7456"/>
    <w:rsid w:val="00FE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3AD0"/>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7D52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5209"/>
    <w:rPr>
      <w:rFonts w:asciiTheme="majorHAnsi" w:eastAsiaTheme="majorEastAsia" w:hAnsiTheme="majorHAnsi" w:cstheme="majorBidi"/>
      <w:sz w:val="18"/>
      <w:szCs w:val="18"/>
    </w:rPr>
  </w:style>
  <w:style w:type="paragraph" w:styleId="a5">
    <w:name w:val="header"/>
    <w:basedOn w:val="a"/>
    <w:link w:val="a6"/>
    <w:uiPriority w:val="99"/>
    <w:unhideWhenUsed/>
    <w:rsid w:val="00C6263F"/>
    <w:pPr>
      <w:tabs>
        <w:tab w:val="center" w:pos="4252"/>
        <w:tab w:val="right" w:pos="8504"/>
      </w:tabs>
      <w:snapToGrid w:val="0"/>
    </w:pPr>
  </w:style>
  <w:style w:type="character" w:customStyle="1" w:styleId="a6">
    <w:name w:val="ヘッダー (文字)"/>
    <w:basedOn w:val="a0"/>
    <w:link w:val="a5"/>
    <w:uiPriority w:val="99"/>
    <w:rsid w:val="00C6263F"/>
  </w:style>
  <w:style w:type="paragraph" w:styleId="a7">
    <w:name w:val="footer"/>
    <w:basedOn w:val="a"/>
    <w:link w:val="a8"/>
    <w:uiPriority w:val="99"/>
    <w:unhideWhenUsed/>
    <w:rsid w:val="00C6263F"/>
    <w:pPr>
      <w:tabs>
        <w:tab w:val="center" w:pos="4252"/>
        <w:tab w:val="right" w:pos="8504"/>
      </w:tabs>
      <w:snapToGrid w:val="0"/>
    </w:pPr>
  </w:style>
  <w:style w:type="character" w:customStyle="1" w:styleId="a8">
    <w:name w:val="フッター (文字)"/>
    <w:basedOn w:val="a0"/>
    <w:link w:val="a7"/>
    <w:uiPriority w:val="99"/>
    <w:rsid w:val="00C62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3AD0"/>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7D52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5209"/>
    <w:rPr>
      <w:rFonts w:asciiTheme="majorHAnsi" w:eastAsiaTheme="majorEastAsia" w:hAnsiTheme="majorHAnsi" w:cstheme="majorBidi"/>
      <w:sz w:val="18"/>
      <w:szCs w:val="18"/>
    </w:rPr>
  </w:style>
  <w:style w:type="paragraph" w:styleId="a5">
    <w:name w:val="header"/>
    <w:basedOn w:val="a"/>
    <w:link w:val="a6"/>
    <w:uiPriority w:val="99"/>
    <w:unhideWhenUsed/>
    <w:rsid w:val="00C6263F"/>
    <w:pPr>
      <w:tabs>
        <w:tab w:val="center" w:pos="4252"/>
        <w:tab w:val="right" w:pos="8504"/>
      </w:tabs>
      <w:snapToGrid w:val="0"/>
    </w:pPr>
  </w:style>
  <w:style w:type="character" w:customStyle="1" w:styleId="a6">
    <w:name w:val="ヘッダー (文字)"/>
    <w:basedOn w:val="a0"/>
    <w:link w:val="a5"/>
    <w:uiPriority w:val="99"/>
    <w:rsid w:val="00C6263F"/>
  </w:style>
  <w:style w:type="paragraph" w:styleId="a7">
    <w:name w:val="footer"/>
    <w:basedOn w:val="a"/>
    <w:link w:val="a8"/>
    <w:uiPriority w:val="99"/>
    <w:unhideWhenUsed/>
    <w:rsid w:val="00C6263F"/>
    <w:pPr>
      <w:tabs>
        <w:tab w:val="center" w:pos="4252"/>
        <w:tab w:val="right" w:pos="8504"/>
      </w:tabs>
      <w:snapToGrid w:val="0"/>
    </w:pPr>
  </w:style>
  <w:style w:type="character" w:customStyle="1" w:styleId="a8">
    <w:name w:val="フッター (文字)"/>
    <w:basedOn w:val="a0"/>
    <w:link w:val="a7"/>
    <w:uiPriority w:val="99"/>
    <w:rsid w:val="00C62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26082">
      <w:bodyDiv w:val="1"/>
      <w:marLeft w:val="0"/>
      <w:marRight w:val="0"/>
      <w:marTop w:val="0"/>
      <w:marBottom w:val="0"/>
      <w:divBdr>
        <w:top w:val="none" w:sz="0" w:space="0" w:color="auto"/>
        <w:left w:val="none" w:sz="0" w:space="0" w:color="auto"/>
        <w:bottom w:val="none" w:sz="0" w:space="0" w:color="auto"/>
        <w:right w:val="none" w:sz="0" w:space="0" w:color="auto"/>
      </w:divBdr>
    </w:div>
    <w:div w:id="2127770514">
      <w:bodyDiv w:val="1"/>
      <w:marLeft w:val="0"/>
      <w:marRight w:val="0"/>
      <w:marTop w:val="0"/>
      <w:marBottom w:val="0"/>
      <w:divBdr>
        <w:top w:val="none" w:sz="0" w:space="0" w:color="auto"/>
        <w:left w:val="none" w:sz="0" w:space="0" w:color="auto"/>
        <w:bottom w:val="none" w:sz="0" w:space="0" w:color="auto"/>
        <w:right w:val="none" w:sz="0" w:space="0" w:color="auto"/>
      </w:divBdr>
      <w:divsChild>
        <w:div w:id="880092719">
          <w:marLeft w:val="240"/>
          <w:marRight w:val="0"/>
          <w:marTop w:val="0"/>
          <w:marBottom w:val="0"/>
          <w:divBdr>
            <w:top w:val="none" w:sz="0" w:space="0" w:color="auto"/>
            <w:left w:val="none" w:sz="0" w:space="0" w:color="auto"/>
            <w:bottom w:val="none" w:sz="0" w:space="0" w:color="auto"/>
            <w:right w:val="none" w:sz="0" w:space="0" w:color="auto"/>
          </w:divBdr>
          <w:divsChild>
            <w:div w:id="110786019">
              <w:marLeft w:val="0"/>
              <w:marRight w:val="240"/>
              <w:marTop w:val="0"/>
              <w:marBottom w:val="0"/>
              <w:divBdr>
                <w:top w:val="none" w:sz="0" w:space="0" w:color="auto"/>
                <w:left w:val="none" w:sz="0" w:space="0" w:color="auto"/>
                <w:bottom w:val="none" w:sz="0" w:space="0" w:color="auto"/>
                <w:right w:val="none" w:sz="0" w:space="0" w:color="auto"/>
              </w:divBdr>
              <w:divsChild>
                <w:div w:id="1826436033">
                  <w:marLeft w:val="0"/>
                  <w:marRight w:val="225"/>
                  <w:marTop w:val="300"/>
                  <w:marBottom w:val="0"/>
                  <w:divBdr>
                    <w:top w:val="none" w:sz="0" w:space="0" w:color="auto"/>
                    <w:left w:val="none" w:sz="0" w:space="0" w:color="auto"/>
                    <w:bottom w:val="none" w:sz="0" w:space="0" w:color="auto"/>
                    <w:right w:val="none" w:sz="0" w:space="0" w:color="auto"/>
                  </w:divBdr>
                  <w:divsChild>
                    <w:div w:id="1641686248">
                      <w:marLeft w:val="225"/>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hs.go.jp/mhlw/chemical/doku/gaiyou/kisei/zyoubun/pdf/12.pdf"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ihs.go.jp/mhlw/chemical/doku/gaiyou/kisei/zyoubun/pdf/3.pdf" TargetMode="External"/><Relationship Id="rId12" Type="http://schemas.openxmlformats.org/officeDocument/2006/relationships/hyperlink" Target="http://www.nihs.go.jp/mhlw/chemical/doku/gaiyou/kisei/zyoubun/gizyutukizyun.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ihs.go.jp/mhlw/chemical/doku/gaiyou/kisei/zyoubun/pdf/11.pdf"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www.nihs.go.jp/mhlw/chemical/doku/gaiyou/kisei/zyoubun/pdf/14&amp;15.pdf" TargetMode="External"/><Relationship Id="rId4" Type="http://schemas.openxmlformats.org/officeDocument/2006/relationships/webSettings" Target="webSettings.xml"/><Relationship Id="rId9" Type="http://schemas.openxmlformats.org/officeDocument/2006/relationships/hyperlink" Target="http://www.nihs.go.jp/mhlw/chemical/doku/gaiyou/kisei/zyoubun/pdf/14&amp;15.pdf"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2</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20</cp:revision>
  <cp:lastPrinted>2013-01-13T16:44:00Z</cp:lastPrinted>
  <dcterms:created xsi:type="dcterms:W3CDTF">2012-12-31T07:52:00Z</dcterms:created>
  <dcterms:modified xsi:type="dcterms:W3CDTF">2015-04-06T03:35:00Z</dcterms:modified>
</cp:coreProperties>
</file>